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260" w:rsidRDefault="00F63260" w:rsidP="00F63260">
      <w:pPr>
        <w:shd w:val="clear" w:color="auto" w:fill="002060"/>
        <w:spacing w:line="224" w:lineRule="atLeast"/>
        <w:rPr>
          <w:rFonts w:ascii="Calibri" w:hAnsi="Calibri" w:cs="Calibri"/>
          <w:sz w:val="22"/>
          <w:szCs w:val="22"/>
          <w:lang w:eastAsia="en-US"/>
        </w:rPr>
      </w:pPr>
      <w:r>
        <w:rPr>
          <w:rFonts w:ascii="Century Gothic" w:hAnsi="Century Gothic"/>
          <w:b/>
          <w:bCs/>
          <w:color w:val="FFFFFF"/>
          <w:sz w:val="20"/>
          <w:szCs w:val="20"/>
        </w:rPr>
        <w:t xml:space="preserve">Le 15 octobre 2021 </w:t>
      </w:r>
    </w:p>
    <w:p w:rsidR="00F63260" w:rsidRDefault="00F63260" w:rsidP="00F63260">
      <w:pPr>
        <w:shd w:val="clear" w:color="auto" w:fill="0063AF"/>
        <w:spacing w:line="224" w:lineRule="atLeast"/>
      </w:pPr>
      <w:r>
        <w:rPr>
          <w:rFonts w:ascii="Century Gothic" w:hAnsi="Century Gothic"/>
          <w:b/>
          <w:bCs/>
          <w:color w:val="FFFFFF"/>
          <w:sz w:val="10"/>
          <w:szCs w:val="10"/>
        </w:rPr>
        <w:t> </w:t>
      </w:r>
    </w:p>
    <w:p w:rsidR="00F63260" w:rsidRDefault="00F63260" w:rsidP="00F63260">
      <w:pPr>
        <w:shd w:val="clear" w:color="auto" w:fill="0063AF"/>
      </w:pPr>
      <w:r>
        <w:rPr>
          <w:rFonts w:ascii="Century Gothic" w:hAnsi="Century Gothic"/>
          <w:b/>
          <w:bCs/>
          <w:color w:val="FFFFFF"/>
        </w:rPr>
        <w:t>Communiqué de presse</w:t>
      </w:r>
    </w:p>
    <w:p w:rsidR="00F63260" w:rsidRDefault="00F63260" w:rsidP="00F63260">
      <w:pPr>
        <w:shd w:val="clear" w:color="auto" w:fill="0063AF"/>
        <w:spacing w:line="224" w:lineRule="atLeast"/>
      </w:pPr>
      <w:r>
        <w:rPr>
          <w:rFonts w:ascii="Century Gothic" w:hAnsi="Century Gothic"/>
          <w:b/>
          <w:bCs/>
          <w:color w:val="1F497D"/>
          <w:sz w:val="8"/>
          <w:szCs w:val="8"/>
        </w:rPr>
        <w:t> </w:t>
      </w:r>
    </w:p>
    <w:p w:rsidR="00F63260" w:rsidRDefault="00F63260" w:rsidP="00F63260">
      <w:pPr>
        <w:shd w:val="clear" w:color="auto" w:fill="FFFFFF"/>
        <w:jc w:val="both"/>
        <w:rPr>
          <w:rFonts w:ascii="Century Gothic" w:hAnsi="Century Gothic"/>
          <w:b/>
          <w:bCs/>
          <w:color w:val="1F497D"/>
          <w:sz w:val="28"/>
          <w:szCs w:val="28"/>
        </w:rPr>
      </w:pPr>
    </w:p>
    <w:p w:rsidR="00F63260" w:rsidRDefault="00F63260" w:rsidP="00F63260">
      <w:pPr>
        <w:shd w:val="clear" w:color="auto" w:fill="FFFFFF"/>
        <w:jc w:val="both"/>
        <w:rPr>
          <w:rFonts w:ascii="Century Gothic" w:hAnsi="Century Gothic"/>
          <w:b/>
          <w:bCs/>
          <w:color w:val="1F497D"/>
          <w:sz w:val="28"/>
          <w:szCs w:val="28"/>
        </w:rPr>
      </w:pPr>
      <w:r>
        <w:rPr>
          <w:rFonts w:ascii="Century Gothic" w:hAnsi="Century Gothic"/>
          <w:b/>
          <w:bCs/>
          <w:color w:val="1F497D"/>
          <w:sz w:val="28"/>
          <w:szCs w:val="28"/>
        </w:rPr>
        <w:t xml:space="preserve">Vers l’élimination du choléra en Haïti grâce à une stratégie de lutte coordonnée basée sur la rupture des chaînes de transmission </w:t>
      </w:r>
    </w:p>
    <w:p w:rsidR="00F63260" w:rsidRDefault="00F63260" w:rsidP="00F63260">
      <w:pPr>
        <w:shd w:val="clear" w:color="auto" w:fill="FFFFFF"/>
        <w:jc w:val="both"/>
        <w:rPr>
          <w:rFonts w:ascii="Century Gothic" w:hAnsi="Century Gothic"/>
          <w:b/>
          <w:bCs/>
          <w:color w:val="1F497D"/>
          <w:sz w:val="28"/>
          <w:szCs w:val="28"/>
        </w:rPr>
      </w:pPr>
    </w:p>
    <w:p w:rsidR="00F63260" w:rsidRDefault="00F63260" w:rsidP="00F63260">
      <w:pPr>
        <w:shd w:val="clear" w:color="auto" w:fill="FFFFFF"/>
        <w:jc w:val="both"/>
        <w:rPr>
          <w:rFonts w:ascii="Century Gothic" w:hAnsi="Century Gothic"/>
          <w:b/>
          <w:bCs/>
          <w:color w:val="1F497D"/>
          <w:sz w:val="20"/>
          <w:szCs w:val="20"/>
        </w:rPr>
      </w:pPr>
      <w:r>
        <w:rPr>
          <w:rFonts w:ascii="Century Gothic" w:hAnsi="Century Gothic"/>
          <w:b/>
          <w:bCs/>
          <w:color w:val="1F497D"/>
          <w:sz w:val="20"/>
          <w:szCs w:val="20"/>
        </w:rPr>
        <w:t>En 2013, une équipe médicale de l’AP-HP, de Sorbonne Université, de l’Inserm, de l'hôpital Européen de Marseille, de l’IRD, d’Aix-Marseille Université (SESSTIM) et de l’AP-HM a proposé au gouvernement haïtien et à l’Unicef une stratégie coordonnée de lutte contre le choléra, visant à casser les chaines de transmission. </w:t>
      </w:r>
    </w:p>
    <w:p w:rsidR="00F63260" w:rsidRDefault="00F63260" w:rsidP="00F63260">
      <w:pPr>
        <w:shd w:val="clear" w:color="auto" w:fill="FFFFFF"/>
        <w:jc w:val="both"/>
        <w:rPr>
          <w:rFonts w:ascii="Calibri" w:hAnsi="Calibri" w:cs="Calibri"/>
          <w:sz w:val="22"/>
          <w:szCs w:val="22"/>
        </w:rPr>
      </w:pPr>
    </w:p>
    <w:p w:rsidR="00F63260" w:rsidRDefault="00F63260" w:rsidP="00F63260">
      <w:pPr>
        <w:shd w:val="clear" w:color="auto" w:fill="FFFFFF"/>
        <w:jc w:val="both"/>
      </w:pPr>
      <w:r>
        <w:rPr>
          <w:rFonts w:ascii="Century Gothic" w:hAnsi="Century Gothic"/>
          <w:b/>
          <w:bCs/>
          <w:color w:val="1F497D"/>
          <w:sz w:val="20"/>
          <w:szCs w:val="20"/>
        </w:rPr>
        <w:t xml:space="preserve">Cette stratégie et ses résultats, qui montrent l’arrêt apparent de la transmission du choléra en Haïti depuis 2019, viennent de faire l’objet d’une publication au sein de la revue </w:t>
      </w:r>
      <w:hyperlink r:id="rId4" w:history="1">
        <w:r>
          <w:rPr>
            <w:rStyle w:val="Lienhypertexte"/>
            <w:rFonts w:ascii="Century Gothic" w:hAnsi="Century Gothic"/>
            <w:b/>
            <w:bCs/>
            <w:sz w:val="20"/>
            <w:szCs w:val="20"/>
          </w:rPr>
          <w:t>Emerging Infectious Diseases</w:t>
        </w:r>
      </w:hyperlink>
      <w:r>
        <w:rPr>
          <w:rFonts w:ascii="Century Gothic" w:hAnsi="Century Gothic"/>
          <w:b/>
          <w:bCs/>
          <w:color w:val="1F497D"/>
          <w:sz w:val="20"/>
          <w:szCs w:val="20"/>
        </w:rPr>
        <w:t>.</w:t>
      </w:r>
    </w:p>
    <w:p w:rsidR="00F63260" w:rsidRDefault="00F63260" w:rsidP="00F63260">
      <w:pPr>
        <w:shd w:val="clear" w:color="auto" w:fill="FFFFFF"/>
        <w:jc w:val="both"/>
        <w:rPr>
          <w:rFonts w:ascii="Century Gothic" w:hAnsi="Century Gothic"/>
          <w:b/>
          <w:bCs/>
          <w:color w:val="1F497D"/>
          <w:sz w:val="20"/>
          <w:szCs w:val="20"/>
        </w:rPr>
      </w:pPr>
    </w:p>
    <w:p w:rsidR="00F63260" w:rsidRPr="00F63260" w:rsidRDefault="00F63260" w:rsidP="00F63260">
      <w:pPr>
        <w:pStyle w:val="NormalWeb"/>
        <w:spacing w:line="230" w:lineRule="atLeast"/>
        <w:jc w:val="both"/>
        <w:rPr>
          <w:rFonts w:ascii="Century Gothic" w:hAnsi="Century Gothic"/>
          <w:color w:val="000000"/>
          <w:sz w:val="20"/>
          <w:szCs w:val="20"/>
        </w:rPr>
      </w:pPr>
      <w:r w:rsidRPr="00F63260">
        <w:rPr>
          <w:rFonts w:ascii="Century Gothic" w:hAnsi="Century Gothic"/>
          <w:color w:val="000000"/>
          <w:sz w:val="20"/>
          <w:szCs w:val="20"/>
        </w:rPr>
        <w:t>Malencontreusement importé en Haïti en 2010 à l’occasion d’un mouvement de troupes en provenance d’Asie, le choléra a occasionné dans ce pays des Caraïbes l'une des plus violentes épidémies de ces dernières décennies. Favorisée par un mauvais accès à l'eau potable, à l'assainissement et à l'hygiène, la transmission de la maladie a persisté par vagues épidémiques à tel point que l'élimination du choléra dans le pays a été considérée comme impossible par beaucoup.</w:t>
      </w:r>
    </w:p>
    <w:p w:rsidR="00F63260" w:rsidRPr="00F63260" w:rsidRDefault="00F63260" w:rsidP="00F63260">
      <w:pPr>
        <w:pStyle w:val="NormalWeb"/>
        <w:spacing w:line="230" w:lineRule="atLeast"/>
        <w:jc w:val="both"/>
        <w:rPr>
          <w:rFonts w:ascii="Century Gothic" w:hAnsi="Century Gothic"/>
          <w:color w:val="000000"/>
          <w:sz w:val="20"/>
          <w:szCs w:val="20"/>
        </w:rPr>
      </w:pPr>
      <w:r w:rsidRPr="00F63260">
        <w:rPr>
          <w:rFonts w:ascii="Century Gothic" w:hAnsi="Century Gothic"/>
          <w:color w:val="000000"/>
          <w:sz w:val="20"/>
          <w:szCs w:val="20"/>
        </w:rPr>
        <w:t xml:space="preserve">En 2013, une équipe médicale de l’AP-HP, de Sorbonne Université, de l’Inserm, de l'hôpital Européen de Marseille, de l’IRD, d’Aix-Marseille Université (SESSTIM) et de l’AP-HM a proposé au gouvernement haïtien et à l’Unicef une stratégie coordonnée de lutte contre le choléra, visant à casser les chaines de transmission. </w:t>
      </w:r>
    </w:p>
    <w:p w:rsidR="00F63260" w:rsidRPr="00F63260" w:rsidRDefault="00F63260" w:rsidP="00F63260">
      <w:pPr>
        <w:pStyle w:val="NormalWeb"/>
        <w:spacing w:line="230" w:lineRule="atLeast"/>
        <w:jc w:val="both"/>
        <w:rPr>
          <w:rFonts w:ascii="Century Gothic" w:hAnsi="Century Gothic"/>
          <w:color w:val="000000"/>
          <w:sz w:val="20"/>
          <w:szCs w:val="20"/>
        </w:rPr>
      </w:pPr>
      <w:r w:rsidRPr="00F63260">
        <w:rPr>
          <w:rFonts w:ascii="Century Gothic" w:hAnsi="Century Gothic"/>
          <w:color w:val="000000"/>
          <w:sz w:val="20"/>
          <w:szCs w:val="20"/>
        </w:rPr>
        <w:t>Des équipes mobiles de réponse rapide ont ainsi mené plus de 50 000 interventions dans tout le pays afin de sensibiliser, distribuer des kits de traitement de l'eau et d'hygiène, et souvent une antibioprophylaxie "minute" aux sujets contacts des patients accueillis dans les centres de soins.</w:t>
      </w:r>
    </w:p>
    <w:p w:rsidR="00F63260" w:rsidRPr="00F63260" w:rsidRDefault="00F63260" w:rsidP="00F63260">
      <w:pPr>
        <w:pStyle w:val="NormalWeb"/>
        <w:spacing w:line="230" w:lineRule="atLeast"/>
        <w:jc w:val="both"/>
        <w:rPr>
          <w:rFonts w:ascii="Century Gothic" w:hAnsi="Century Gothic"/>
          <w:color w:val="000000"/>
          <w:sz w:val="20"/>
          <w:szCs w:val="20"/>
        </w:rPr>
      </w:pPr>
      <w:r w:rsidRPr="00F63260">
        <w:rPr>
          <w:rFonts w:ascii="Century Gothic" w:hAnsi="Century Gothic"/>
          <w:color w:val="000000"/>
          <w:sz w:val="20"/>
          <w:szCs w:val="20"/>
        </w:rPr>
        <w:t>En collaboration avec le Ministère de la Santé Haïtien, cette équipe médicale vient de montrer, dans un article intitulé « </w:t>
      </w:r>
      <w:hyperlink r:id="rId5" w:history="1">
        <w:r w:rsidRPr="00F63260">
          <w:rPr>
            <w:rStyle w:val="Lienhypertexte"/>
            <w:rFonts w:ascii="Century Gothic" w:hAnsi="Century Gothic"/>
            <w:sz w:val="20"/>
            <w:szCs w:val="20"/>
          </w:rPr>
          <w:t>Towards cholera elimination in Haiti </w:t>
        </w:r>
      </w:hyperlink>
      <w:r w:rsidRPr="00F63260">
        <w:rPr>
          <w:rFonts w:ascii="Century Gothic" w:hAnsi="Century Gothic"/>
          <w:color w:val="000000"/>
          <w:sz w:val="20"/>
          <w:szCs w:val="20"/>
        </w:rPr>
        <w:t>» qu’il n’y a plus le moindre signe d’activité de l’épidémie depuis février 2019 malgré une recherche m</w:t>
      </w:r>
      <w:bookmarkStart w:id="0" w:name="_GoBack"/>
      <w:bookmarkEnd w:id="0"/>
      <w:r w:rsidRPr="00F63260">
        <w:rPr>
          <w:rFonts w:ascii="Century Gothic" w:hAnsi="Century Gothic"/>
          <w:color w:val="000000"/>
          <w:sz w:val="20"/>
          <w:szCs w:val="20"/>
        </w:rPr>
        <w:t>icrobiologique intense.</w:t>
      </w:r>
    </w:p>
    <w:p w:rsidR="00F63260" w:rsidRPr="00F63260" w:rsidRDefault="00F63260" w:rsidP="00F63260">
      <w:pPr>
        <w:pStyle w:val="NormalWeb"/>
        <w:spacing w:line="230" w:lineRule="atLeast"/>
        <w:jc w:val="both"/>
        <w:rPr>
          <w:rFonts w:ascii="Century Gothic" w:hAnsi="Century Gothic"/>
          <w:color w:val="000000"/>
          <w:sz w:val="20"/>
          <w:szCs w:val="20"/>
        </w:rPr>
      </w:pPr>
      <w:r w:rsidRPr="00F63260">
        <w:rPr>
          <w:rFonts w:ascii="Century Gothic" w:hAnsi="Century Gothic"/>
          <w:color w:val="000000"/>
          <w:sz w:val="20"/>
          <w:szCs w:val="20"/>
        </w:rPr>
        <w:t>Ces résultats spectaculaires suggèrent que les interventions ciblées par zone de cas menées par des équipes de réponse rapide ont joué un rôle clé. Ils remettent également en question la théorie selon laquelle la bactérie responsable de la maladie allait persister dans les environnements aquatiques du pays, empêchant son élimination.</w:t>
      </w:r>
    </w:p>
    <w:p w:rsidR="00F63260" w:rsidRDefault="00F63260" w:rsidP="00F63260">
      <w:pPr>
        <w:pStyle w:val="NormalWeb"/>
        <w:spacing w:line="230" w:lineRule="atLeast"/>
        <w:jc w:val="both"/>
        <w:rPr>
          <w:rFonts w:ascii="Calibri" w:hAnsi="Calibri" w:cs="Calibri"/>
          <w:lang w:val="en-US"/>
        </w:rPr>
      </w:pPr>
      <w:r>
        <w:rPr>
          <w:rFonts w:ascii="Century Gothic" w:hAnsi="Century Gothic"/>
          <w:b/>
          <w:bCs/>
          <w:color w:val="000000"/>
          <w:sz w:val="18"/>
          <w:szCs w:val="18"/>
          <w:lang w:val="en-US"/>
        </w:rPr>
        <w:t>Référence:</w:t>
      </w:r>
      <w:r>
        <w:rPr>
          <w:lang w:val="en-US"/>
        </w:rPr>
        <w:t> </w:t>
      </w:r>
      <w:r>
        <w:rPr>
          <w:b/>
          <w:bCs/>
          <w:i/>
          <w:iCs/>
        </w:rPr>
        <w:t>Toward Cholera Elimination, Haiti. Emerging Infectious Diseases. 2021.</w:t>
      </w:r>
    </w:p>
    <w:p w:rsidR="00F63260" w:rsidRDefault="00F63260" w:rsidP="00F63260">
      <w:pPr>
        <w:jc w:val="both"/>
        <w:rPr>
          <w:rFonts w:ascii="Century Gothic" w:hAnsi="Century Gothic"/>
          <w:color w:val="000000"/>
          <w:sz w:val="18"/>
          <w:szCs w:val="18"/>
          <w:lang w:val="en-US"/>
        </w:rPr>
      </w:pPr>
      <w:r>
        <w:rPr>
          <w:rFonts w:ascii="Century Gothic" w:hAnsi="Century Gothic"/>
          <w:color w:val="000000"/>
          <w:sz w:val="18"/>
          <w:szCs w:val="18"/>
          <w:lang w:val="en-US"/>
        </w:rPr>
        <w:t>Stanislas Rebaudet, Patrick Dély, Jacques Boncy, Jean Hugues Henrys, and Renaud Piarroux</w:t>
      </w:r>
    </w:p>
    <w:p w:rsidR="00F63260" w:rsidRDefault="00F63260" w:rsidP="00F63260">
      <w:pPr>
        <w:jc w:val="both"/>
        <w:rPr>
          <w:rFonts w:ascii="Calibri" w:hAnsi="Calibri" w:cs="Calibri"/>
          <w:color w:val="000000"/>
          <w:sz w:val="22"/>
          <w:szCs w:val="22"/>
        </w:rPr>
      </w:pPr>
    </w:p>
    <w:p w:rsidR="00F63260" w:rsidRDefault="00F63260" w:rsidP="00F63260">
      <w:pPr>
        <w:rPr>
          <w:rFonts w:ascii="Century Gothic" w:hAnsi="Century Gothic"/>
          <w:b/>
          <w:bCs/>
          <w:i/>
          <w:iCs/>
          <w:color w:val="808080"/>
          <w:sz w:val="18"/>
          <w:szCs w:val="18"/>
        </w:rPr>
      </w:pPr>
      <w:r>
        <w:rPr>
          <w:rFonts w:ascii="Century Gothic" w:hAnsi="Century Gothic"/>
          <w:b/>
          <w:bCs/>
          <w:i/>
          <w:iCs/>
          <w:color w:val="808080"/>
          <w:sz w:val="18"/>
          <w:szCs w:val="18"/>
        </w:rPr>
        <w:t xml:space="preserve">À propos de Sorbonne Université : </w:t>
      </w:r>
    </w:p>
    <w:p w:rsidR="00F63260" w:rsidRDefault="00F63260" w:rsidP="00F63260">
      <w:pPr>
        <w:jc w:val="both"/>
        <w:rPr>
          <w:rFonts w:ascii="Century Gothic" w:hAnsi="Century Gothic"/>
          <w:i/>
          <w:iCs/>
          <w:color w:val="808080"/>
          <w:sz w:val="18"/>
          <w:szCs w:val="18"/>
        </w:rPr>
      </w:pPr>
      <w:r>
        <w:rPr>
          <w:rFonts w:ascii="Century Gothic" w:hAnsi="Century Gothic"/>
          <w:i/>
          <w:iCs/>
          <w:color w:val="808080"/>
          <w:sz w:val="18"/>
          <w:szCs w:val="18"/>
        </w:rPr>
        <w:t xml:space="preserve">Sorbonne Université est une université pluridisciplinaire de recherche intensive de rang mondial. Structurée en trois facultés, elle couvre les champs des lettres, de la médecine et des sciences. Ancrée au cœur de Paris et présente en région, Sorbonne Université est impliquée dans la réussite de sa communauté étudiante. Elle s’engage à répondre aux grands enjeux sociétaux et à transmettre les </w:t>
      </w:r>
      <w:proofErr w:type="gramStart"/>
      <w:r>
        <w:rPr>
          <w:rFonts w:ascii="Century Gothic" w:hAnsi="Century Gothic"/>
          <w:i/>
          <w:iCs/>
          <w:color w:val="808080"/>
          <w:sz w:val="18"/>
          <w:szCs w:val="18"/>
        </w:rPr>
        <w:t>connaissances</w:t>
      </w:r>
      <w:proofErr w:type="gramEnd"/>
      <w:r>
        <w:rPr>
          <w:rFonts w:ascii="Century Gothic" w:hAnsi="Century Gothic"/>
          <w:i/>
          <w:iCs/>
          <w:color w:val="808080"/>
          <w:sz w:val="18"/>
          <w:szCs w:val="18"/>
        </w:rPr>
        <w:t xml:space="preserve"> issues de ses laboratoires et de ses équipes de recherche. Grâce à ses 52 000 étudiantes et étudiants, 6 400 personnels d’enseignement et de recherche et 3 900 personnels administratifs et </w:t>
      </w:r>
      <w:r>
        <w:rPr>
          <w:rFonts w:ascii="Century Gothic" w:hAnsi="Century Gothic"/>
          <w:i/>
          <w:iCs/>
          <w:color w:val="808080"/>
          <w:sz w:val="18"/>
          <w:szCs w:val="18"/>
        </w:rPr>
        <w:lastRenderedPageBreak/>
        <w:t xml:space="preserve">techniques, Sorbonne Université se veut diverse, créatrice, innovante et ouverte sur le monde. Avec le Muséum national d’Histoire naturelle, l’Université de Technologie de Compiègne, l’INSEAD, le Pôle Supérieur Paris Boulogne-Billancourt et France Education International, elle forme l’Alliance Sorbonne Université favorisant une approche globale de l’enseignement et de la recherche, promouvant l'accès au savoir, et développant des programmes et projets de formation. Sorbonne Université est également membre de l'Alliance 4EU+, un modèle novateur d’université européenne. </w:t>
      </w:r>
    </w:p>
    <w:p w:rsidR="00F63260" w:rsidRDefault="00F63260" w:rsidP="00F63260">
      <w:pPr>
        <w:jc w:val="both"/>
        <w:rPr>
          <w:rFonts w:ascii="Century Gothic" w:hAnsi="Century Gothic"/>
          <w:i/>
          <w:iCs/>
          <w:color w:val="808080"/>
          <w:sz w:val="18"/>
          <w:szCs w:val="18"/>
        </w:rPr>
      </w:pPr>
      <w:hyperlink r:id="rId6" w:history="1">
        <w:r>
          <w:rPr>
            <w:rStyle w:val="Lienhypertexte"/>
            <w:rFonts w:ascii="Century Gothic" w:hAnsi="Century Gothic"/>
            <w:i/>
            <w:iCs/>
            <w:sz w:val="18"/>
            <w:szCs w:val="18"/>
          </w:rPr>
          <w:t>https://www.sorbonne-universite.fr</w:t>
        </w:r>
      </w:hyperlink>
      <w:r>
        <w:rPr>
          <w:rFonts w:ascii="Century Gothic" w:hAnsi="Century Gothic"/>
          <w:i/>
          <w:iCs/>
          <w:color w:val="808080"/>
          <w:sz w:val="18"/>
          <w:szCs w:val="18"/>
        </w:rPr>
        <w:t>   @ServicePresseSU</w:t>
      </w:r>
    </w:p>
    <w:p w:rsidR="00F63260" w:rsidRDefault="00F63260" w:rsidP="00F63260">
      <w:pPr>
        <w:jc w:val="both"/>
        <w:rPr>
          <w:rFonts w:ascii="Century Gothic" w:hAnsi="Century Gothic"/>
          <w:i/>
          <w:iCs/>
          <w:color w:val="808080"/>
          <w:sz w:val="18"/>
          <w:szCs w:val="18"/>
        </w:rPr>
      </w:pPr>
    </w:p>
    <w:p w:rsidR="00F63260" w:rsidRDefault="00F63260" w:rsidP="00F63260">
      <w:pPr>
        <w:jc w:val="both"/>
        <w:rPr>
          <w:rFonts w:ascii="Century Gothic" w:hAnsi="Century Gothic"/>
          <w:b/>
          <w:bCs/>
          <w:i/>
          <w:iCs/>
          <w:color w:val="808080"/>
          <w:sz w:val="18"/>
          <w:szCs w:val="18"/>
        </w:rPr>
      </w:pPr>
      <w:r>
        <w:rPr>
          <w:noProof/>
        </w:rPr>
        <w:drawing>
          <wp:inline distT="0" distB="0" distL="0" distR="0">
            <wp:extent cx="1276350" cy="514350"/>
            <wp:effectExtent l="0" t="0" r="0" b="0"/>
            <wp:docPr id="6" name="Image 6" descr="cid:image017.png@01D7C1B2.335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7.png@01D7C1B2.335840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76350" cy="514350"/>
                    </a:xfrm>
                    <a:prstGeom prst="rect">
                      <a:avLst/>
                    </a:prstGeom>
                    <a:noFill/>
                    <a:ln>
                      <a:noFill/>
                    </a:ln>
                  </pic:spPr>
                </pic:pic>
              </a:graphicData>
            </a:graphic>
          </wp:inline>
        </w:drawing>
      </w:r>
    </w:p>
    <w:p w:rsidR="00F63260" w:rsidRDefault="00F63260" w:rsidP="00F63260">
      <w:pPr>
        <w:jc w:val="both"/>
        <w:rPr>
          <w:rFonts w:ascii="Century Gothic" w:hAnsi="Century Gothic"/>
          <w:b/>
          <w:bCs/>
          <w:i/>
          <w:iCs/>
          <w:color w:val="808080"/>
          <w:sz w:val="18"/>
          <w:szCs w:val="18"/>
        </w:rPr>
      </w:pPr>
    </w:p>
    <w:p w:rsidR="00F63260" w:rsidRDefault="00F63260" w:rsidP="00F63260">
      <w:pPr>
        <w:jc w:val="both"/>
        <w:rPr>
          <w:rFonts w:ascii="Century Gothic" w:hAnsi="Century Gothic"/>
          <w:i/>
          <w:iCs/>
          <w:color w:val="808080"/>
          <w:sz w:val="18"/>
          <w:szCs w:val="18"/>
        </w:rPr>
      </w:pPr>
      <w:r>
        <w:rPr>
          <w:rFonts w:ascii="Century Gothic" w:hAnsi="Century Gothic"/>
          <w:b/>
          <w:bCs/>
          <w:i/>
          <w:iCs/>
          <w:color w:val="808080"/>
          <w:sz w:val="18"/>
          <w:szCs w:val="18"/>
        </w:rPr>
        <w:t>À propos de l’AP-HP : </w:t>
      </w:r>
      <w:r>
        <w:rPr>
          <w:rFonts w:ascii="Century Gothic" w:hAnsi="Century Gothic"/>
          <w:i/>
          <w:iCs/>
          <w:color w:val="808080"/>
          <w:sz w:val="18"/>
          <w:szCs w:val="18"/>
        </w:rPr>
        <w:t xml:space="preserve">Premier centre hospitalier et universitaire (CHU) d’Europe, l’AP-HP et ses 39 hôpitaux sont organisés en six groupements hospitalo-universitaires (AP-HP. Centre - Université de Paris ; AP-HP. Sorbonne Université ; AP-HP. Nord - Université de Paris ; AP-HP. Université Paris Saclay ; AP-HP. Hôpitaux Universitaires Henri Mondor et AP-HP. Hôpitaux Universitaires Paris Seine-Saint-Denis) et s’articulent autour de cinq universités franciliennes. Etroitement liée aux grands organismes de recherche, l’AP-HP compte trois instituts hospitalo-universitaires d’envergure mondiale (ICM, ICAN, IMAGINE) et le plus grand entrepôt de données de santé (EDS) français. Acteur majeur de la recherche appliquée et de l’innovation en santé, l’AP-HP détient un portefeuille de 650 brevets actifs, ses cliniciens chercheurs signent chaque année près de 9000 publications scientifiques et plus de 4000 projets de recherche sont aujourd’hui en cours de développement, tous promoteurs confondus. L’AP-HP a obtenu en 2020 le label Institut Carnot, qui récompense la qualité de la recherche </w:t>
      </w:r>
      <w:r>
        <w:rPr>
          <w:rFonts w:ascii="Century Gothic" w:hAnsi="Century Gothic"/>
          <w:color w:val="808080"/>
          <w:sz w:val="18"/>
          <w:szCs w:val="18"/>
        </w:rPr>
        <w:t>partenariale : le Carnot@AP-HP</w:t>
      </w:r>
      <w:r>
        <w:rPr>
          <w:i/>
          <w:iCs/>
          <w:color w:val="000000"/>
        </w:rPr>
        <w:t xml:space="preserve"> </w:t>
      </w:r>
      <w:r>
        <w:rPr>
          <w:rFonts w:ascii="Century Gothic" w:hAnsi="Century Gothic"/>
          <w:i/>
          <w:iCs/>
          <w:color w:val="808080"/>
          <w:sz w:val="18"/>
          <w:szCs w:val="18"/>
        </w:rPr>
        <w:t>propose aux acteurs industriels des solutions en recherche appliquée et clinique dans le domaine de la santé. L’AP-HP a également créé en 2015 la Fondation de l’AP-HP pour la Recherche afin de soutenir la recherche biomédicale et en santé menée dans l’ensemble de ses hôpitaux. </w:t>
      </w:r>
      <w:hyperlink r:id="rId9" w:tgtFrame="_blank" w:history="1">
        <w:r>
          <w:rPr>
            <w:rStyle w:val="Lienhypertexte"/>
            <w:rFonts w:ascii="Century Gothic" w:hAnsi="Century Gothic"/>
            <w:i/>
            <w:iCs/>
            <w:sz w:val="18"/>
            <w:szCs w:val="18"/>
          </w:rPr>
          <w:t>http://www.aphp.fr</w:t>
        </w:r>
      </w:hyperlink>
      <w:r>
        <w:rPr>
          <w:rFonts w:ascii="Century Gothic" w:hAnsi="Century Gothic"/>
          <w:i/>
          <w:iCs/>
          <w:color w:val="808080"/>
          <w:sz w:val="18"/>
          <w:szCs w:val="18"/>
        </w:rPr>
        <w:t xml:space="preserve"> </w:t>
      </w:r>
    </w:p>
    <w:p w:rsidR="00F63260" w:rsidRDefault="00F63260" w:rsidP="00F63260">
      <w:pPr>
        <w:jc w:val="both"/>
        <w:rPr>
          <w:rFonts w:ascii="Century Gothic" w:hAnsi="Century Gothic"/>
          <w:i/>
          <w:iCs/>
          <w:color w:val="808080"/>
          <w:sz w:val="18"/>
          <w:szCs w:val="18"/>
        </w:rPr>
      </w:pPr>
    </w:p>
    <w:p w:rsidR="00F63260" w:rsidRDefault="00F63260" w:rsidP="00F63260">
      <w:pPr>
        <w:jc w:val="both"/>
        <w:rPr>
          <w:rFonts w:ascii="Century Gothic" w:hAnsi="Century Gothic"/>
          <w:i/>
          <w:iCs/>
          <w:color w:val="808080"/>
          <w:sz w:val="18"/>
          <w:szCs w:val="18"/>
        </w:rPr>
      </w:pPr>
      <w:r>
        <w:rPr>
          <w:i/>
          <w:iCs/>
          <w:noProof/>
          <w:color w:val="808080"/>
          <w:sz w:val="18"/>
          <w:szCs w:val="18"/>
        </w:rPr>
        <w:drawing>
          <wp:inline distT="0" distB="0" distL="0" distR="0">
            <wp:extent cx="2486025" cy="485775"/>
            <wp:effectExtent l="0" t="0" r="9525" b="9525"/>
            <wp:docPr id="5" name="Image 5" descr="cid:image018.jpg@01D7C1B2.335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8.jpg@01D7C1B2.335840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p>
    <w:p w:rsidR="00F63260" w:rsidRDefault="00F63260" w:rsidP="00F63260">
      <w:pPr>
        <w:jc w:val="both"/>
        <w:rPr>
          <w:rFonts w:ascii="Century Gothic" w:hAnsi="Century Gothic"/>
          <w:i/>
          <w:iCs/>
          <w:color w:val="808080"/>
          <w:sz w:val="18"/>
          <w:szCs w:val="18"/>
        </w:rPr>
      </w:pPr>
    </w:p>
    <w:p w:rsidR="00F63260" w:rsidRDefault="00F63260" w:rsidP="00F63260">
      <w:pPr>
        <w:jc w:val="both"/>
        <w:rPr>
          <w:rFonts w:ascii="Century Gothic" w:hAnsi="Century Gothic"/>
          <w:i/>
          <w:iCs/>
          <w:color w:val="808080"/>
          <w:sz w:val="18"/>
          <w:szCs w:val="18"/>
        </w:rPr>
      </w:pPr>
      <w:r>
        <w:rPr>
          <w:rFonts w:ascii="Century Gothic" w:hAnsi="Century Gothic"/>
          <w:b/>
          <w:bCs/>
          <w:i/>
          <w:iCs/>
          <w:noProof/>
          <w:color w:val="808080"/>
          <w:sz w:val="18"/>
          <w:szCs w:val="18"/>
        </w:rPr>
        <w:drawing>
          <wp:inline distT="0" distB="0" distL="0" distR="0">
            <wp:extent cx="1266825" cy="523875"/>
            <wp:effectExtent l="0" t="0" r="9525" b="9525"/>
            <wp:docPr id="4" name="Image 4" descr="cid:image019.png@01D7C1B2.335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9.png@01D7C1B2.335840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inline>
        </w:drawing>
      </w:r>
    </w:p>
    <w:p w:rsidR="00F63260" w:rsidRDefault="00F63260" w:rsidP="00F63260">
      <w:pPr>
        <w:jc w:val="both"/>
        <w:rPr>
          <w:rFonts w:ascii="Century Gothic" w:hAnsi="Century Gothic"/>
          <w:i/>
          <w:iCs/>
          <w:color w:val="808080"/>
          <w:sz w:val="18"/>
          <w:szCs w:val="18"/>
        </w:rPr>
      </w:pPr>
    </w:p>
    <w:p w:rsidR="00F63260" w:rsidRDefault="00F63260" w:rsidP="00F63260">
      <w:pPr>
        <w:jc w:val="both"/>
        <w:rPr>
          <w:rFonts w:ascii="Century Gothic" w:hAnsi="Century Gothic"/>
          <w:i/>
          <w:iCs/>
          <w:color w:val="808080"/>
          <w:sz w:val="18"/>
          <w:szCs w:val="18"/>
        </w:rPr>
      </w:pPr>
      <w:r>
        <w:rPr>
          <w:rFonts w:ascii="Century Gothic" w:hAnsi="Century Gothic"/>
          <w:i/>
          <w:iCs/>
          <w:noProof/>
          <w:color w:val="808080"/>
          <w:sz w:val="18"/>
          <w:szCs w:val="18"/>
        </w:rPr>
        <w:drawing>
          <wp:inline distT="0" distB="0" distL="0" distR="0">
            <wp:extent cx="1304925" cy="504825"/>
            <wp:effectExtent l="0" t="0" r="9525" b="9525"/>
            <wp:docPr id="3" name="Image 3" descr="cid:image020.jpg@01D7C1B2.335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20.jpg@01D7C1B2.335840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p>
    <w:p w:rsidR="00F63260" w:rsidRDefault="00F63260" w:rsidP="00F63260">
      <w:pPr>
        <w:pStyle w:val="NormalWeb"/>
        <w:jc w:val="both"/>
        <w:rPr>
          <w:rFonts w:ascii="Century Gothic" w:hAnsi="Century Gothic"/>
          <w:b/>
          <w:bCs/>
          <w:color w:val="0070C0"/>
          <w:sz w:val="18"/>
          <w:szCs w:val="18"/>
        </w:rPr>
      </w:pPr>
      <w:r>
        <w:rPr>
          <w:rFonts w:ascii="Century Gothic" w:hAnsi="Century Gothic"/>
          <w:i/>
          <w:iCs/>
          <w:noProof/>
          <w:color w:val="808080"/>
          <w:sz w:val="18"/>
          <w:szCs w:val="18"/>
          <w:lang w:eastAsia="fr-FR"/>
        </w:rPr>
        <w:drawing>
          <wp:inline distT="0" distB="0" distL="0" distR="0">
            <wp:extent cx="1695450" cy="409575"/>
            <wp:effectExtent l="0" t="0" r="0" b="9525"/>
            <wp:docPr id="2" name="Image 2" descr="cid:image021.jpg@01D7C1B2.335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21.jpg@01D7C1B2.335840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95450" cy="409575"/>
                    </a:xfrm>
                    <a:prstGeom prst="rect">
                      <a:avLst/>
                    </a:prstGeom>
                    <a:noFill/>
                    <a:ln>
                      <a:noFill/>
                    </a:ln>
                  </pic:spPr>
                </pic:pic>
              </a:graphicData>
            </a:graphic>
          </wp:inline>
        </w:drawing>
      </w:r>
    </w:p>
    <w:p w:rsidR="00F63260" w:rsidRDefault="00F63260" w:rsidP="00F63260">
      <w:pPr>
        <w:pStyle w:val="NormalWeb"/>
        <w:jc w:val="both"/>
        <w:rPr>
          <w:rFonts w:ascii="Century Gothic" w:hAnsi="Century Gothic"/>
          <w:b/>
          <w:bCs/>
          <w:color w:val="0070C0"/>
          <w:sz w:val="18"/>
          <w:szCs w:val="18"/>
        </w:rPr>
      </w:pPr>
      <w:r>
        <w:rPr>
          <w:rFonts w:ascii="Century Gothic" w:hAnsi="Century Gothic"/>
          <w:b/>
          <w:bCs/>
          <w:noProof/>
          <w:color w:val="0070C0"/>
          <w:sz w:val="18"/>
          <w:szCs w:val="18"/>
          <w:lang w:eastAsia="fr-FR"/>
        </w:rPr>
        <w:drawing>
          <wp:inline distT="0" distB="0" distL="0" distR="0">
            <wp:extent cx="1343025" cy="457200"/>
            <wp:effectExtent l="0" t="0" r="9525" b="0"/>
            <wp:docPr id="1" name="Image 1" descr="LOGO_AMU_CMJN_SE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AMU_CMJN_SE_H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inline>
        </w:drawing>
      </w:r>
    </w:p>
    <w:p w:rsidR="00F63260" w:rsidRDefault="00F63260" w:rsidP="00F63260">
      <w:pPr>
        <w:pStyle w:val="NormalWeb"/>
        <w:jc w:val="both"/>
        <w:rPr>
          <w:rFonts w:ascii="Century Gothic" w:hAnsi="Century Gothic"/>
          <w:b/>
          <w:bCs/>
          <w:color w:val="0070C0"/>
          <w:sz w:val="18"/>
          <w:szCs w:val="18"/>
        </w:rPr>
      </w:pPr>
      <w:r>
        <w:rPr>
          <w:rFonts w:ascii="Times New Roman" w:hAnsi="Times New Roman"/>
          <w:noProof/>
          <w:sz w:val="20"/>
          <w:szCs w:val="20"/>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2540</wp:posOffset>
            </wp:positionV>
            <wp:extent cx="792480" cy="652145"/>
            <wp:effectExtent l="0" t="0" r="7620" b="0"/>
            <wp:wrapTight wrapText="bothSides">
              <wp:wrapPolygon edited="0">
                <wp:start x="0" y="0"/>
                <wp:lineTo x="0" y="20822"/>
                <wp:lineTo x="12981" y="20822"/>
                <wp:lineTo x="21288" y="18929"/>
                <wp:lineTo x="21288" y="1893"/>
                <wp:lineTo x="1973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2480" cy="652145"/>
                    </a:xfrm>
                    <a:prstGeom prst="rect">
                      <a:avLst/>
                    </a:prstGeom>
                    <a:noFill/>
                  </pic:spPr>
                </pic:pic>
              </a:graphicData>
            </a:graphic>
            <wp14:sizeRelH relativeFrom="page">
              <wp14:pctWidth>0</wp14:pctWidth>
            </wp14:sizeRelH>
            <wp14:sizeRelV relativeFrom="page">
              <wp14:pctHeight>0</wp14:pctHeight>
            </wp14:sizeRelV>
          </wp:anchor>
        </w:drawing>
      </w:r>
    </w:p>
    <w:p w:rsidR="00F63260" w:rsidRDefault="00F63260" w:rsidP="00F63260">
      <w:pPr>
        <w:pStyle w:val="NormalWeb"/>
        <w:jc w:val="both"/>
        <w:rPr>
          <w:rFonts w:ascii="Century Gothic" w:hAnsi="Century Gothic"/>
          <w:b/>
          <w:bCs/>
          <w:color w:val="0070C0"/>
          <w:sz w:val="18"/>
          <w:szCs w:val="18"/>
        </w:rPr>
      </w:pPr>
    </w:p>
    <w:p w:rsidR="00F63260" w:rsidRDefault="00F63260" w:rsidP="00F63260">
      <w:pPr>
        <w:pStyle w:val="NormalWeb"/>
        <w:jc w:val="both"/>
        <w:rPr>
          <w:rFonts w:ascii="Century Gothic" w:hAnsi="Century Gothic"/>
          <w:b/>
          <w:bCs/>
          <w:color w:val="0070C0"/>
          <w:sz w:val="18"/>
          <w:szCs w:val="18"/>
        </w:rPr>
      </w:pPr>
    </w:p>
    <w:p w:rsidR="00F63260" w:rsidRDefault="00F63260" w:rsidP="00F63260">
      <w:pPr>
        <w:pStyle w:val="NormalWeb"/>
        <w:jc w:val="both"/>
        <w:rPr>
          <w:rFonts w:ascii="Calibri" w:hAnsi="Calibri" w:cs="Calibri"/>
          <w:color w:val="000000"/>
        </w:rPr>
      </w:pPr>
      <w:r>
        <w:rPr>
          <w:rFonts w:ascii="Century Gothic" w:hAnsi="Century Gothic"/>
          <w:b/>
          <w:bCs/>
          <w:color w:val="0070C0"/>
          <w:sz w:val="18"/>
          <w:szCs w:val="18"/>
        </w:rPr>
        <w:t>Contacts presse :</w:t>
      </w:r>
      <w:r>
        <w:rPr>
          <w:rFonts w:ascii="Century Gothic" w:hAnsi="Century Gothic"/>
          <w:color w:val="000000"/>
        </w:rPr>
        <w:t xml:space="preserve"> </w:t>
      </w:r>
    </w:p>
    <w:p w:rsidR="00F63260" w:rsidRDefault="00F63260" w:rsidP="00F63260">
      <w:r>
        <w:rPr>
          <w:rFonts w:ascii="Century Gothic" w:hAnsi="Century Gothic"/>
          <w:color w:val="0070C0"/>
          <w:sz w:val="18"/>
          <w:szCs w:val="18"/>
        </w:rPr>
        <w:t>Service de presse de l’AP-HP :</w:t>
      </w:r>
      <w:r>
        <w:rPr>
          <w:rFonts w:ascii="Century Gothic" w:hAnsi="Century Gothic"/>
          <w:b/>
          <w:bCs/>
          <w:color w:val="0070C0"/>
          <w:sz w:val="18"/>
          <w:szCs w:val="18"/>
        </w:rPr>
        <w:t xml:space="preserve"> </w:t>
      </w:r>
      <w:r>
        <w:rPr>
          <w:rFonts w:ascii="Century Gothic" w:hAnsi="Century Gothic"/>
          <w:color w:val="000000"/>
          <w:sz w:val="18"/>
          <w:szCs w:val="18"/>
        </w:rPr>
        <w:t xml:space="preserve">01 40 27 37 22 - </w:t>
      </w:r>
      <w:hyperlink r:id="rId21" w:tgtFrame="_blank" w:history="1">
        <w:r>
          <w:rPr>
            <w:rStyle w:val="Lienhypertexte"/>
            <w:rFonts w:ascii="Century Gothic" w:hAnsi="Century Gothic"/>
            <w:sz w:val="18"/>
            <w:szCs w:val="18"/>
          </w:rPr>
          <w:t>service.presse@aphp.fr</w:t>
        </w:r>
      </w:hyperlink>
    </w:p>
    <w:p w:rsidR="00F113F4" w:rsidRDefault="00F113F4"/>
    <w:sectPr w:rsidR="00F11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60"/>
    <w:rsid w:val="00F113F4"/>
    <w:rsid w:val="00F63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EDAF01-2E7E-45FF-B9FC-4939C2C3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6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63260"/>
    <w:rPr>
      <w:color w:val="0000FF"/>
      <w:u w:val="single"/>
    </w:rPr>
  </w:style>
  <w:style w:type="character" w:customStyle="1" w:styleId="NormalWebCar">
    <w:name w:val="Normal (Web) Car"/>
    <w:basedOn w:val="Policepardfaut"/>
    <w:link w:val="NormalWeb"/>
    <w:uiPriority w:val="99"/>
    <w:semiHidden/>
    <w:locked/>
    <w:rsid w:val="00F63260"/>
  </w:style>
  <w:style w:type="paragraph" w:styleId="NormalWeb">
    <w:name w:val="Normal (Web)"/>
    <w:basedOn w:val="Normal"/>
    <w:link w:val="NormalWebCar"/>
    <w:uiPriority w:val="99"/>
    <w:semiHidden/>
    <w:unhideWhenUsed/>
    <w:rsid w:val="00F63260"/>
    <w:pPr>
      <w:spacing w:before="100" w:beforeAutospacing="1" w:after="100" w:afterAutospacing="1"/>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2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7.png@01D7C1B2.33584000" TargetMode="External"/><Relationship Id="rId13" Type="http://schemas.openxmlformats.org/officeDocument/2006/relationships/image" Target="cid:image019.png@01D7C1B2.33584000"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mailto:service.presse@aphp.fr"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cid:image021.jpg@01D7C1B2.33584000"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s://www.sorbonne-universite.fr" TargetMode="External"/><Relationship Id="rId11" Type="http://schemas.openxmlformats.org/officeDocument/2006/relationships/image" Target="cid:image018.jpg@01D7C1B2.33584000" TargetMode="External"/><Relationship Id="rId5" Type="http://schemas.openxmlformats.org/officeDocument/2006/relationships/hyperlink" Target="https://wwwnc.cdc.gov/eid/article/27/11/20-3372_article" TargetMode="External"/><Relationship Id="rId15" Type="http://schemas.openxmlformats.org/officeDocument/2006/relationships/image" Target="cid:image020.jpg@01D7C1B2.3358400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cid:image022.png@01D7C1B2.33584000" TargetMode="External"/><Relationship Id="rId4" Type="http://schemas.openxmlformats.org/officeDocument/2006/relationships/hyperlink" Target="https://wwwnc.cdc.gov/eid/article/27/11/20-3372_article" TargetMode="External"/><Relationship Id="rId9" Type="http://schemas.openxmlformats.org/officeDocument/2006/relationships/hyperlink" Target="http://www.aphp.fr"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4811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VALZY Marion</dc:creator>
  <cp:keywords/>
  <dc:description/>
  <cp:lastModifiedBy>VALZY Marion</cp:lastModifiedBy>
  <cp:revision>1</cp:revision>
  <dcterms:created xsi:type="dcterms:W3CDTF">2021-10-15T09:05:00Z</dcterms:created>
  <dcterms:modified xsi:type="dcterms:W3CDTF">2021-10-15T09:07:00Z</dcterms:modified>
</cp:coreProperties>
</file>